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5E" w:rsidRDefault="002C285E" w:rsidP="002C285E">
      <w:pPr>
        <w:tabs>
          <w:tab w:val="left" w:pos="291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ХУДОЖНЬО-ЕСТЕТИЧНЕ ОСМИСЛЕННЯ КРАСИ </w:t>
      </w:r>
    </w:p>
    <w:p w:rsidR="00A3799E" w:rsidRPr="002C285E" w:rsidRDefault="002C285E" w:rsidP="002C285E">
      <w:pPr>
        <w:tabs>
          <w:tab w:val="left" w:pos="291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85E">
        <w:rPr>
          <w:rFonts w:ascii="Times New Roman" w:hAnsi="Times New Roman"/>
          <w:b/>
          <w:sz w:val="28"/>
          <w:szCs w:val="28"/>
          <w:lang w:val="uk-UA"/>
        </w:rPr>
        <w:t>В КАТАЇ</w:t>
      </w:r>
    </w:p>
    <w:p w:rsidR="002C285E" w:rsidRPr="002C285E" w:rsidRDefault="002C285E" w:rsidP="002C285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C285E">
        <w:rPr>
          <w:rFonts w:ascii="Times New Roman" w:hAnsi="Times New Roman"/>
          <w:i/>
          <w:sz w:val="28"/>
          <w:szCs w:val="28"/>
          <w:lang w:val="uk-UA"/>
        </w:rPr>
        <w:t>Попова Марія Дмитрівна, викладач кафедри східних мов та перекладу</w:t>
      </w:r>
    </w:p>
    <w:p w:rsidR="002C285E" w:rsidRPr="002C285E" w:rsidRDefault="002C285E" w:rsidP="002C285E">
      <w:pPr>
        <w:jc w:val="center"/>
        <w:rPr>
          <w:rFonts w:ascii="Times New Roman" w:hAnsi="Times New Roman" w:cs="Times New Roman"/>
          <w:lang w:val="uk-UA"/>
        </w:rPr>
      </w:pPr>
      <w:r w:rsidRPr="002C285E">
        <w:rPr>
          <w:rFonts w:ascii="Times New Roman" w:hAnsi="Times New Roman" w:cs="Times New Roman"/>
          <w:lang w:val="uk-UA"/>
        </w:rPr>
        <w:t>Київський університет імені Бориса Грінченка</w:t>
      </w:r>
    </w:p>
    <w:p w:rsidR="002C285E" w:rsidRPr="00C6392C" w:rsidRDefault="002C285E" w:rsidP="002C285E">
      <w:pPr>
        <w:tabs>
          <w:tab w:val="left" w:pos="29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6392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2E46CB" w:rsidRPr="00430140" w:rsidRDefault="002E46CB" w:rsidP="002E46C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У китайській культурі краса, якщо це розглядати з позицій китайської філософії конфуціанства, та даосизму, пов'язане з красою природи, гармонією люди у світі, та з красою людського тіла і внутрішнього світу. Зображення природи є одним з основних мотивів китайського поезії та філософії Даосизму. Китайська традиційна естетика - це краса образів, почуттів і </w:t>
      </w:r>
      <w:proofErr w:type="spellStart"/>
      <w:r w:rsidRPr="00430140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, не видимих оку. Природа китайською перекладається як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自然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0140">
        <w:rPr>
          <w:rFonts w:ascii="Times New Roman" w:hAnsi="Times New Roman" w:cs="Times New Roman"/>
          <w:sz w:val="28"/>
          <w:szCs w:val="28"/>
          <w:lang w:val="uk-UA"/>
        </w:rPr>
        <w:t>zìrán</w:t>
      </w:r>
      <w:proofErr w:type="spellEnd"/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, що має також значення «природний, що відбувається без втручання людини». У китайській традиційній естетиці ставлення до природи сформульовано в принципі «людина і природа – одне ціле»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天人合一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). Тут людина не протиставляється природі, не сприймається ні її вінцем, ні рабом, а просто є одним з невід'ємних компонентів цього світу, так само як і природа є частиною його самого[</w:t>
      </w:r>
      <w:r w:rsidR="00B370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]. У цьому взаємозв'язку скріплює елемент  – </w:t>
      </w:r>
      <w:proofErr w:type="spellStart"/>
      <w:r w:rsidRPr="00430140">
        <w:rPr>
          <w:rFonts w:ascii="Times New Roman" w:hAnsi="Times New Roman" w:cs="Times New Roman"/>
          <w:i/>
          <w:sz w:val="28"/>
          <w:szCs w:val="28"/>
          <w:lang w:val="uk-UA"/>
        </w:rPr>
        <w:t>дао</w:t>
      </w:r>
      <w:proofErr w:type="spellEnd"/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道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), основа всього живого, що прийшло з небуття, джерело краси і, власне, сама краса, є також основним концептом філософії даосизму. У філософії даосизму, краса часто проявляється в єдності людини і природи, так як людина є породженням природних і вищих сил. Краса народжується і проявляється в єдності протилежностей, в китайській естетиці вона може бути витонченою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优美</w:t>
      </w:r>
      <w:bookmarkStart w:id="0" w:name="_GoBack"/>
      <w:bookmarkEnd w:id="0"/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, а може бути величною і монументального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壮美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. Дві сторони однієї медалі, що не заперечують одна одну, а доповнюють. [</w:t>
      </w:r>
      <w:r w:rsidR="004301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]. Однак </w:t>
      </w:r>
      <w:proofErr w:type="spellStart"/>
      <w:r w:rsidRPr="00430140">
        <w:rPr>
          <w:rFonts w:ascii="Times New Roman" w:hAnsi="Times New Roman" w:cs="Times New Roman"/>
          <w:i/>
          <w:sz w:val="28"/>
          <w:szCs w:val="28"/>
          <w:lang w:val="uk-UA"/>
        </w:rPr>
        <w:t>дао</w:t>
      </w:r>
      <w:proofErr w:type="spellEnd"/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є не єдиним джерелом прекрасного, крім нього є ще й 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神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)  –дух або енергія, ще одна складова людини і світу в цілому. Оцінюючи той чи інший твір мистецтва, китайці керувалися не його зовнішньою формою, а здатністю автора передати враження, настрій, а також присутність в картині </w:t>
      </w:r>
      <w:proofErr w:type="spellStart"/>
      <w:r w:rsidRPr="00430140">
        <w:rPr>
          <w:rFonts w:ascii="Times New Roman" w:hAnsi="Times New Roman" w:cs="Times New Roman"/>
          <w:i/>
          <w:sz w:val="28"/>
          <w:szCs w:val="28"/>
          <w:lang w:val="uk-UA"/>
        </w:rPr>
        <w:t>дао</w:t>
      </w:r>
      <w:proofErr w:type="spellEnd"/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30140">
        <w:rPr>
          <w:rFonts w:ascii="Times New Roman" w:hAnsi="Times New Roman" w:cs="Times New Roman"/>
          <w:i/>
          <w:sz w:val="28"/>
          <w:szCs w:val="28"/>
          <w:lang w:val="uk-UA"/>
        </w:rPr>
        <w:t>шень</w:t>
      </w:r>
      <w:proofErr w:type="spellEnd"/>
      <w:r w:rsidRPr="00430140">
        <w:rPr>
          <w:rFonts w:ascii="Times New Roman" w:hAnsi="Times New Roman" w:cs="Times New Roman"/>
          <w:sz w:val="28"/>
          <w:szCs w:val="28"/>
          <w:lang w:val="uk-UA"/>
        </w:rPr>
        <w:t>. [</w:t>
      </w:r>
      <w:r w:rsidR="00B3705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E46CB" w:rsidRPr="00430140" w:rsidRDefault="00C6392C" w:rsidP="00C639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E46CB" w:rsidRPr="00430140">
        <w:rPr>
          <w:rFonts w:ascii="Times New Roman" w:hAnsi="Times New Roman" w:cs="Times New Roman"/>
          <w:sz w:val="28"/>
          <w:szCs w:val="28"/>
          <w:lang w:val="uk-UA"/>
        </w:rPr>
        <w:t>Конфуціанство також підкреслює єдність людини і природи, їх гармонію і узгодженість, але все ж більше фокусується на міжособистісних відносинах і сприймає природу в контексті саме людини і естетики повсякденному житті.</w:t>
      </w:r>
    </w:p>
    <w:p w:rsidR="00C6392C" w:rsidRPr="00430140" w:rsidRDefault="002E46CB" w:rsidP="00C639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140">
        <w:rPr>
          <w:rFonts w:ascii="Times New Roman" w:hAnsi="Times New Roman" w:cs="Times New Roman"/>
          <w:sz w:val="28"/>
          <w:szCs w:val="28"/>
          <w:lang w:val="uk-UA"/>
        </w:rPr>
        <w:t>З позицій китайської філософії конфуціанства, видно, що краса полягає в пізнанні свого внутрішнього світу, самовдосконаленні, проживанні чесного, благородного життя в гармонії зі світом [</w:t>
      </w:r>
      <w:r w:rsidR="00B370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]. Гармонія людського життя – головний предмет конфуціанства. Область роздумів Конфуція – переважно практична моральність. Основні етичні поняття-заповіді, на які спирається це міркування: «взаємність»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相互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), «людинолюбство»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仁爱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), «золота середина»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中庸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). В цілому вони складають «правильний шлях» – </w:t>
      </w:r>
      <w:proofErr w:type="spellStart"/>
      <w:r w:rsidRPr="00430140">
        <w:rPr>
          <w:rFonts w:ascii="Times New Roman" w:hAnsi="Times New Roman" w:cs="Times New Roman"/>
          <w:i/>
          <w:sz w:val="28"/>
          <w:szCs w:val="28"/>
          <w:lang w:val="uk-UA"/>
        </w:rPr>
        <w:t>дао</w:t>
      </w:r>
      <w:proofErr w:type="spellEnd"/>
      <w:r w:rsidRPr="00430140">
        <w:rPr>
          <w:rFonts w:ascii="Times New Roman" w:hAnsi="Times New Roman" w:cs="Times New Roman"/>
          <w:sz w:val="28"/>
          <w:szCs w:val="28"/>
          <w:lang w:val="uk-UA"/>
        </w:rPr>
        <w:t>, яким повинен слідувати кожен, хто прагне жити в злагоді з самим собою, іншими людьми і Небом, а значить, жити щасливо[</w:t>
      </w:r>
      <w:r w:rsidR="00B370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]. «Взаємність» – це любов до людей, як вихідна привітність, відкритість, щирість, ввічливість по відношенню до того, з ким вступаєш в спілкування; любов до ближнього в прямому сенсі слова. Моральне ставлення «до далеких»  – це «людинолюбство». Це любов і повагу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людини взагалі і до людських норм життя. Тому «людинолюбство» передбачає, перш за все, шанобливість і повагу по відношенню до батьків, і в цілому старшим, і хто стоїть вище по соціальних сходах. Ці заповіді можуть бути виконані за допомогою п'яти «простих і великих» чеснот: 1.мудрість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智慧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), 2.милосердя (гуманність)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仁爱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D2230F"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3.вірність(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忠心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), 4.шанування старших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长长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), 5.мужність 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勇气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). Володіння цими чеснотами практично означає сумлінне ставлення і глибоку повагу до себе та інших. А це головне в прояві людинолюбства і милосердя, які в конфуціанстві майже збігаються [</w:t>
      </w:r>
      <w:r w:rsidR="004301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6392C" w:rsidRPr="00430140" w:rsidRDefault="00C6392C" w:rsidP="00C639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Також, говорячи про красу, неможна обійти стороною естетику жіночого тіла, яке займає не останнє місце у китайській культурі.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В епосі багатьох народів, жіноча краса має небесну сутність. Краса як втілення найвищої досконалості і гармонії захоплювала, перед нею схилялися, її обожнювали, її прославляли, заради неї і тільки заради неї відбувалися подвиги. Але краса може нести в собі і руйнування, вона буває оманлива і непередбачувана. Для жінки, краса актуальна в будь-якому віці. У китайського письменника Лі </w:t>
      </w:r>
      <w:proofErr w:type="spellStart"/>
      <w:r w:rsidRPr="00430140">
        <w:rPr>
          <w:rFonts w:ascii="Times New Roman" w:hAnsi="Times New Roman" w:cs="Times New Roman"/>
          <w:sz w:val="28"/>
          <w:szCs w:val="28"/>
          <w:lang w:val="uk-UA"/>
        </w:rPr>
        <w:t>Юйя</w:t>
      </w:r>
      <w:proofErr w:type="spellEnd"/>
      <w:r w:rsidR="0043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李煜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937–978) є чудове висловлювання, що стосується секрету краси, чарівності і привабливості китайських жінок: «треба зробити старе –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softHyphen/>
        <w:t>молодим, потворне – прекрасним, звичне – дивовижним, і тоді життя обов'язково зміниться на краще»[</w:t>
      </w:r>
      <w:r w:rsidR="00B370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6392C" w:rsidRPr="00430140" w:rsidRDefault="00C6392C" w:rsidP="00C639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      Отже, 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спираючись на китайську філософію конфуціанства, даосизму та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китайських письменників</w:t>
      </w:r>
      <w:r w:rsidRPr="00430140">
        <w:rPr>
          <w:rFonts w:ascii="Times New Roman" w:hAnsi="Times New Roman" w:cs="Times New Roman"/>
          <w:sz w:val="28"/>
          <w:szCs w:val="28"/>
          <w:lang w:val="uk-UA"/>
        </w:rPr>
        <w:t>, зрозуміло, що художньо-естетичне осмислення краси в Китаї розглядалося,  із сплетіння  природи, людської гармонії, та краси людського тіла.</w:t>
      </w:r>
    </w:p>
    <w:p w:rsidR="00D2230F" w:rsidRPr="00430140" w:rsidRDefault="00C6392C" w:rsidP="00C639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30F" w:rsidRPr="00C6392C" w:rsidRDefault="00D2230F" w:rsidP="002E46CB">
      <w:pPr>
        <w:tabs>
          <w:tab w:val="left" w:pos="291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ПЕРЕЛІК ВИКОРИСТАНИХ ДЖЕРЕЛ:</w:t>
      </w:r>
    </w:p>
    <w:p w:rsidR="00D2230F" w:rsidRPr="00C6392C" w:rsidRDefault="00D2230F" w:rsidP="002E46CB">
      <w:pPr>
        <w:tabs>
          <w:tab w:val="left" w:pos="291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140" w:rsidRDefault="00430140" w:rsidP="00430140">
      <w:pPr>
        <w:pStyle w:val="a3"/>
        <w:numPr>
          <w:ilvl w:val="0"/>
          <w:numId w:val="1"/>
        </w:numPr>
        <w:tabs>
          <w:tab w:val="left" w:pos="8910"/>
        </w:tabs>
        <w:jc w:val="both"/>
        <w:rPr>
          <w:rFonts w:ascii="Times New Roman" w:hAnsi="Times New Roman"/>
          <w:sz w:val="28"/>
          <w:szCs w:val="28"/>
        </w:rPr>
      </w:pPr>
      <w:r w:rsidRPr="00493C20">
        <w:rPr>
          <w:rFonts w:ascii="Times New Roman" w:hAnsi="Times New Roman"/>
          <w:sz w:val="28"/>
          <w:szCs w:val="28"/>
        </w:rPr>
        <w:t xml:space="preserve">Духовная культура Китая: энциклопедия: в 5 т. / Гл. ред. </w:t>
      </w:r>
      <w:proofErr w:type="spellStart"/>
      <w:r w:rsidRPr="00493C20">
        <w:rPr>
          <w:rFonts w:ascii="Times New Roman" w:hAnsi="Times New Roman"/>
          <w:sz w:val="28"/>
          <w:szCs w:val="28"/>
        </w:rPr>
        <w:t>М.Л.Титаренко</w:t>
      </w:r>
      <w:proofErr w:type="spellEnd"/>
      <w:r w:rsidRPr="00493C20">
        <w:rPr>
          <w:rFonts w:ascii="Times New Roman" w:hAnsi="Times New Roman"/>
          <w:sz w:val="28"/>
          <w:szCs w:val="28"/>
        </w:rPr>
        <w:t xml:space="preserve">; Ин-т Дальнего Востока. - М.: Вост. лит., 2006 </w:t>
      </w:r>
      <w:proofErr w:type="gramStart"/>
      <w:r w:rsidRPr="00493C20">
        <w:rPr>
          <w:rFonts w:ascii="Times New Roman" w:hAnsi="Times New Roman"/>
          <w:sz w:val="28"/>
          <w:szCs w:val="28"/>
        </w:rPr>
        <w:t>– .</w:t>
      </w:r>
      <w:proofErr w:type="gramEnd"/>
      <w:r w:rsidRPr="00493C20">
        <w:rPr>
          <w:rFonts w:ascii="Times New Roman" w:hAnsi="Times New Roman"/>
          <w:sz w:val="28"/>
          <w:szCs w:val="28"/>
        </w:rPr>
        <w:t xml:space="preserve"> Т. 3. Литература. Язык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C20">
        <w:rPr>
          <w:rFonts w:ascii="Times New Roman" w:hAnsi="Times New Roman"/>
          <w:sz w:val="28"/>
          <w:szCs w:val="28"/>
        </w:rPr>
        <w:t xml:space="preserve">и письменность / ред. </w:t>
      </w:r>
      <w:proofErr w:type="spellStart"/>
      <w:r w:rsidRPr="00493C20">
        <w:rPr>
          <w:rFonts w:ascii="Times New Roman" w:hAnsi="Times New Roman"/>
          <w:sz w:val="28"/>
          <w:szCs w:val="28"/>
        </w:rPr>
        <w:t>М.Л.Титаренко</w:t>
      </w:r>
      <w:proofErr w:type="spellEnd"/>
      <w:r w:rsidRPr="00493C20">
        <w:rPr>
          <w:rFonts w:ascii="Times New Roman" w:hAnsi="Times New Roman"/>
          <w:sz w:val="28"/>
          <w:szCs w:val="28"/>
        </w:rPr>
        <w:t xml:space="preserve"> и др. – 2008. – 855 с.</w:t>
      </w:r>
    </w:p>
    <w:p w:rsidR="00430140" w:rsidRPr="00430140" w:rsidRDefault="00430140" w:rsidP="00430140">
      <w:pPr>
        <w:pStyle w:val="a3"/>
        <w:numPr>
          <w:ilvl w:val="0"/>
          <w:numId w:val="1"/>
        </w:numPr>
        <w:tabs>
          <w:tab w:val="left" w:pos="89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0140">
        <w:rPr>
          <w:rFonts w:ascii="Times New Roman" w:hAnsi="Times New Roman"/>
          <w:sz w:val="28"/>
          <w:szCs w:val="28"/>
        </w:rPr>
        <w:t>Конфуций. Изречения. – М.: «Изд-во МГУ», 1992.</w:t>
      </w:r>
    </w:p>
    <w:p w:rsidR="00430140" w:rsidRPr="00540CA5" w:rsidRDefault="00430140" w:rsidP="00430140">
      <w:pPr>
        <w:pStyle w:val="a3"/>
        <w:numPr>
          <w:ilvl w:val="0"/>
          <w:numId w:val="1"/>
        </w:numPr>
        <w:tabs>
          <w:tab w:val="left" w:pos="8910"/>
        </w:tabs>
        <w:spacing w:after="200"/>
        <w:jc w:val="both"/>
        <w:rPr>
          <w:rFonts w:ascii="Times New Roman" w:hAnsi="Times New Roman"/>
          <w:sz w:val="28"/>
          <w:szCs w:val="28"/>
        </w:rPr>
      </w:pPr>
      <w:r w:rsidRPr="00540CA5">
        <w:rPr>
          <w:rFonts w:ascii="Times New Roman" w:hAnsi="Times New Roman"/>
          <w:sz w:val="28"/>
          <w:szCs w:val="28"/>
        </w:rPr>
        <w:t xml:space="preserve">Литвинова Л. В. Древнекитайская философия. Собрание текстов в двух томах. Т. 1 / Литвинова Л. В. М.: Мысль, 1972. – 363 с.  </w:t>
      </w:r>
    </w:p>
    <w:p w:rsidR="00D2230F" w:rsidRPr="00430140" w:rsidRDefault="00430140" w:rsidP="00430140">
      <w:pPr>
        <w:pStyle w:val="a3"/>
        <w:numPr>
          <w:ilvl w:val="0"/>
          <w:numId w:val="1"/>
        </w:numPr>
        <w:tabs>
          <w:tab w:val="left" w:pos="291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F5">
        <w:rPr>
          <w:rFonts w:ascii="Times New Roman" w:hAnsi="Times New Roman"/>
          <w:sz w:val="28"/>
          <w:szCs w:val="28"/>
        </w:rPr>
        <w:t>Рогачев А. Л. Идиоматика китайского языка, отображенная в устойчивых словосочетаниях (</w:t>
      </w:r>
      <w:proofErr w:type="spellStart"/>
      <w:r w:rsidRPr="00961CF5">
        <w:rPr>
          <w:rFonts w:ascii="Times New Roman" w:hAnsi="Times New Roman"/>
          <w:sz w:val="28"/>
          <w:szCs w:val="28"/>
        </w:rPr>
        <w:t>чэнъюй</w:t>
      </w:r>
      <w:proofErr w:type="spellEnd"/>
      <w:r w:rsidRPr="00961CF5">
        <w:rPr>
          <w:rFonts w:ascii="Times New Roman" w:hAnsi="Times New Roman"/>
          <w:sz w:val="28"/>
          <w:szCs w:val="28"/>
        </w:rPr>
        <w:t xml:space="preserve">), канд. </w:t>
      </w:r>
      <w:proofErr w:type="spellStart"/>
      <w:r w:rsidRPr="00961CF5">
        <w:rPr>
          <w:rFonts w:ascii="Times New Roman" w:hAnsi="Times New Roman"/>
          <w:sz w:val="28"/>
          <w:szCs w:val="28"/>
        </w:rPr>
        <w:t>дисс</w:t>
      </w:r>
      <w:proofErr w:type="spellEnd"/>
      <w:r w:rsidRPr="00961CF5">
        <w:rPr>
          <w:rFonts w:ascii="Times New Roman" w:hAnsi="Times New Roman"/>
          <w:sz w:val="28"/>
          <w:szCs w:val="28"/>
        </w:rPr>
        <w:t>. М., 1950. - 321с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0140" w:rsidRDefault="00430140" w:rsidP="00430140">
      <w:pPr>
        <w:pStyle w:val="a3"/>
        <w:numPr>
          <w:ilvl w:val="0"/>
          <w:numId w:val="1"/>
        </w:numPr>
        <w:tabs>
          <w:tab w:val="left" w:pos="891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53A">
        <w:rPr>
          <w:rFonts w:ascii="Times New Roman" w:hAnsi="Times New Roman"/>
          <w:sz w:val="28"/>
          <w:szCs w:val="28"/>
        </w:rPr>
        <w:t>Хуа</w:t>
      </w:r>
      <w:proofErr w:type="spellEnd"/>
      <w:r w:rsidRPr="00A5753A">
        <w:rPr>
          <w:rFonts w:ascii="Times New Roman" w:hAnsi="Times New Roman"/>
          <w:sz w:val="28"/>
          <w:szCs w:val="28"/>
        </w:rPr>
        <w:t xml:space="preserve"> Ли Китайская красота и русское прекрасное // Русская речь. – 2006. – № 4. – С. 74-80.</w:t>
      </w:r>
    </w:p>
    <w:p w:rsidR="00430140" w:rsidRPr="00430140" w:rsidRDefault="00430140" w:rsidP="00430140">
      <w:pPr>
        <w:pStyle w:val="a3"/>
        <w:numPr>
          <w:ilvl w:val="0"/>
          <w:numId w:val="1"/>
        </w:numPr>
        <w:tabs>
          <w:tab w:val="left" w:pos="891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430140">
        <w:rPr>
          <w:rFonts w:ascii="Times New Roman" w:hAnsi="Times New Roman"/>
          <w:sz w:val="28"/>
          <w:szCs w:val="28"/>
          <w:lang w:val="en-US"/>
        </w:rPr>
        <w:t>Nature in Chinese Culture (2004), Department of Asian Art, The Metropolitan Museum of Art</w:t>
      </w:r>
    </w:p>
    <w:p w:rsidR="00430140" w:rsidRPr="006C4707" w:rsidRDefault="00430140" w:rsidP="00430140">
      <w:pPr>
        <w:pStyle w:val="a3"/>
        <w:numPr>
          <w:ilvl w:val="0"/>
          <w:numId w:val="1"/>
        </w:numPr>
        <w:tabs>
          <w:tab w:val="left" w:pos="8910"/>
        </w:tabs>
        <w:spacing w:after="200"/>
        <w:jc w:val="both"/>
        <w:rPr>
          <w:rFonts w:ascii="Times New Roman" w:hAnsi="Times New Roman"/>
          <w:sz w:val="28"/>
          <w:szCs w:val="28"/>
        </w:rPr>
      </w:pPr>
      <w:r w:rsidRPr="006C4707">
        <w:rPr>
          <w:rFonts w:ascii="Times New Roman" w:hAnsi="Times New Roman"/>
          <w:sz w:val="28"/>
          <w:szCs w:val="28"/>
          <w:lang w:val="en-US"/>
        </w:rPr>
        <w:t>胡鹏林</w:t>
      </w:r>
      <w:r w:rsidRPr="006C4707">
        <w:rPr>
          <w:rFonts w:ascii="Times New Roman" w:hAnsi="Times New Roman"/>
          <w:sz w:val="28"/>
          <w:szCs w:val="28"/>
        </w:rPr>
        <w:t xml:space="preserve">, </w:t>
      </w:r>
      <w:r w:rsidRPr="006C4707">
        <w:rPr>
          <w:rFonts w:ascii="Times New Roman" w:hAnsi="Times New Roman"/>
          <w:sz w:val="28"/>
          <w:szCs w:val="28"/>
          <w:lang w:val="en-US"/>
        </w:rPr>
        <w:t>韩文革</w:t>
      </w:r>
      <w:r w:rsidRPr="006C4707">
        <w:rPr>
          <w:rFonts w:ascii="Times New Roman" w:hAnsi="Times New Roman"/>
          <w:sz w:val="28"/>
          <w:szCs w:val="28"/>
        </w:rPr>
        <w:t xml:space="preserve"> (2013) </w:t>
      </w:r>
      <w:r w:rsidRPr="006C4707">
        <w:rPr>
          <w:rFonts w:ascii="Times New Roman" w:hAnsi="Times New Roman"/>
          <w:sz w:val="28"/>
          <w:szCs w:val="28"/>
          <w:lang w:val="en-US"/>
        </w:rPr>
        <w:t>天人合一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与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中国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美学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精神</w:t>
      </w:r>
      <w:r w:rsidRPr="006C4707">
        <w:rPr>
          <w:rFonts w:ascii="Times New Roman" w:hAnsi="Times New Roman"/>
          <w:sz w:val="28"/>
          <w:szCs w:val="28"/>
        </w:rPr>
        <w:t xml:space="preserve">, </w:t>
      </w:r>
      <w:r w:rsidRPr="006C4707">
        <w:rPr>
          <w:rFonts w:ascii="Times New Roman" w:hAnsi="Times New Roman"/>
          <w:sz w:val="28"/>
          <w:szCs w:val="28"/>
          <w:lang w:val="en-US"/>
        </w:rPr>
        <w:t>武汉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理工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大学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学报</w:t>
      </w:r>
      <w:r w:rsidRPr="006C4707">
        <w:rPr>
          <w:rFonts w:ascii="Times New Roman" w:hAnsi="Times New Roman"/>
          <w:sz w:val="28"/>
          <w:szCs w:val="28"/>
        </w:rPr>
        <w:t xml:space="preserve"> (</w:t>
      </w:r>
      <w:r w:rsidRPr="006C4707">
        <w:rPr>
          <w:rFonts w:ascii="Times New Roman" w:hAnsi="Times New Roman"/>
          <w:sz w:val="28"/>
          <w:szCs w:val="28"/>
          <w:lang w:val="en-US"/>
        </w:rPr>
        <w:t>社会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科学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版</w:t>
      </w:r>
      <w:r w:rsidRPr="006C4707">
        <w:rPr>
          <w:rFonts w:ascii="Times New Roman" w:hAnsi="Times New Roman"/>
          <w:sz w:val="28"/>
          <w:szCs w:val="28"/>
        </w:rPr>
        <w:t xml:space="preserve">), </w:t>
      </w:r>
      <w:r w:rsidRPr="006C4707">
        <w:rPr>
          <w:rFonts w:ascii="Times New Roman" w:hAnsi="Times New Roman"/>
          <w:sz w:val="28"/>
          <w:szCs w:val="28"/>
          <w:lang w:val="en-US"/>
        </w:rPr>
        <w:t>第</w:t>
      </w:r>
      <w:r w:rsidRPr="006C4707">
        <w:rPr>
          <w:rFonts w:ascii="Times New Roman" w:hAnsi="Times New Roman"/>
          <w:sz w:val="28"/>
          <w:szCs w:val="28"/>
        </w:rPr>
        <w:t xml:space="preserve"> 26 </w:t>
      </w:r>
      <w:r w:rsidRPr="006C4707">
        <w:rPr>
          <w:rFonts w:ascii="Times New Roman" w:hAnsi="Times New Roman"/>
          <w:sz w:val="28"/>
          <w:szCs w:val="28"/>
          <w:lang w:val="en-US"/>
        </w:rPr>
        <w:t>卷</w:t>
      </w:r>
      <w:r w:rsidRPr="006C4707">
        <w:rPr>
          <w:rFonts w:ascii="Times New Roman" w:hAnsi="Times New Roman"/>
          <w:sz w:val="28"/>
          <w:szCs w:val="28"/>
        </w:rPr>
        <w:t xml:space="preserve"> </w:t>
      </w:r>
      <w:r w:rsidRPr="006C4707">
        <w:rPr>
          <w:rFonts w:ascii="Times New Roman" w:hAnsi="Times New Roman"/>
          <w:sz w:val="28"/>
          <w:szCs w:val="28"/>
          <w:lang w:val="en-US"/>
        </w:rPr>
        <w:t>第</w:t>
      </w:r>
      <w:r w:rsidRPr="006C4707">
        <w:rPr>
          <w:rFonts w:ascii="Times New Roman" w:hAnsi="Times New Roman"/>
          <w:sz w:val="28"/>
          <w:szCs w:val="28"/>
        </w:rPr>
        <w:t xml:space="preserve"> 6 </w:t>
      </w:r>
      <w:r w:rsidRPr="006C4707">
        <w:rPr>
          <w:rFonts w:ascii="Times New Roman" w:hAnsi="Times New Roman"/>
          <w:sz w:val="28"/>
          <w:szCs w:val="28"/>
          <w:lang w:val="en-US"/>
        </w:rPr>
        <w:t>期</w:t>
      </w:r>
      <w:r w:rsidRPr="006C4707">
        <w:rPr>
          <w:rFonts w:ascii="Times New Roman" w:hAnsi="Times New Roman"/>
          <w:sz w:val="28"/>
          <w:szCs w:val="28"/>
        </w:rPr>
        <w:t xml:space="preserve">, 932-938 </w:t>
      </w:r>
      <w:r w:rsidRPr="006C4707">
        <w:rPr>
          <w:rFonts w:ascii="Times New Roman" w:hAnsi="Times New Roman"/>
          <w:sz w:val="28"/>
          <w:szCs w:val="28"/>
          <w:lang w:val="en-US"/>
        </w:rPr>
        <w:t>页</w:t>
      </w:r>
    </w:p>
    <w:p w:rsidR="00430140" w:rsidRPr="00430140" w:rsidRDefault="00430140" w:rsidP="00430140">
      <w:pPr>
        <w:pStyle w:val="a3"/>
        <w:tabs>
          <w:tab w:val="left" w:pos="291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0140" w:rsidRPr="00430140" w:rsidSect="008175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1B99"/>
    <w:multiLevelType w:val="hybridMultilevel"/>
    <w:tmpl w:val="426C7F34"/>
    <w:lvl w:ilvl="0" w:tplc="D8BC6272">
      <w:start w:val="4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617725D"/>
    <w:multiLevelType w:val="hybridMultilevel"/>
    <w:tmpl w:val="9CD630B8"/>
    <w:lvl w:ilvl="0" w:tplc="6818CE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2DD0"/>
    <w:multiLevelType w:val="hybridMultilevel"/>
    <w:tmpl w:val="D64EEC8C"/>
    <w:lvl w:ilvl="0" w:tplc="552AADD8">
      <w:start w:val="5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0C342A"/>
    <w:multiLevelType w:val="hybridMultilevel"/>
    <w:tmpl w:val="9BC6886E"/>
    <w:lvl w:ilvl="0" w:tplc="7A4C2CC2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9E"/>
    <w:rsid w:val="002C285E"/>
    <w:rsid w:val="002E46CB"/>
    <w:rsid w:val="00430140"/>
    <w:rsid w:val="008175EF"/>
    <w:rsid w:val="00A3799E"/>
    <w:rsid w:val="00B3705E"/>
    <w:rsid w:val="00C6392C"/>
    <w:rsid w:val="00CF2751"/>
    <w:rsid w:val="00D2230F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2922B6"/>
  <w15:chartTrackingRefBased/>
  <w15:docId w15:val="{6A379ECB-E1DE-D74A-8E4E-E212E7AD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popovamasha73@gmail.com</dc:creator>
  <cp:keywords/>
  <dc:description/>
  <cp:lastModifiedBy>popovamasha73@gmail.com</cp:lastModifiedBy>
  <cp:revision>2</cp:revision>
  <dcterms:created xsi:type="dcterms:W3CDTF">2021-01-27T07:37:00Z</dcterms:created>
  <dcterms:modified xsi:type="dcterms:W3CDTF">2021-03-09T11:45:00Z</dcterms:modified>
</cp:coreProperties>
</file>